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4"/>
        <w:gridCol w:w="5175"/>
        <w:gridCol w:w="166"/>
        <w:gridCol w:w="91"/>
        <w:gridCol w:w="40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2F95269" w:rsidR="00093CA9" w:rsidRDefault="00060728" w:rsidP="00093CA9">
            <w:r w:rsidRPr="00060728">
              <w:t>Ministry of Energy and Mining Resources ("</w:t>
            </w:r>
            <w:proofErr w:type="spellStart"/>
            <w:r w:rsidRPr="00060728">
              <w:t>MoEMR</w:t>
            </w:r>
            <w:proofErr w:type="spellEnd"/>
            <w:r w:rsidRPr="00060728">
              <w:t>") Regulation No. 16 of 2022 on Carbon Pricing Procedures for the Power Plant Sub-sector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CEDC7AE" w:rsidR="00093CA9" w:rsidRDefault="00D04CF1" w:rsidP="00093CA9">
            <w:hyperlink r:id="rId17" w:history="1">
              <w:r w:rsidRPr="0019546C">
                <w:rPr>
                  <w:rStyle w:val="Hyperlink"/>
                </w:rPr>
                <w:t>https://web.archive.org/web/20250730032451/https://peraturan.bpk.go.id/Details/257394/permen-esdm-no-16-tahun-2022</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D77EC2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C157008" w:rsidR="00093CA9" w:rsidRDefault="0093168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2DCE607" w14:textId="461E9B09" w:rsidR="003479F5" w:rsidRPr="003479F5" w:rsidRDefault="003479F5" w:rsidP="003479F5">
            <w:pPr>
              <w:rPr>
                <w:lang w:val="en-ID"/>
              </w:rPr>
            </w:pPr>
            <w:r w:rsidRPr="003479F5">
              <w:rPr>
                <w:lang w:val="en-ID"/>
              </w:rPr>
              <w:t>This regulation aligns with the carbon credit policy domain, as it provides guidance for the implementation of emission reduction efforts through the application of carbon economic value mechanisms in the power plant subsector. It sets out key elements such as deadlines</w:t>
            </w:r>
            <w:r>
              <w:rPr>
                <w:lang w:val="en-ID"/>
              </w:rPr>
              <w:t>/</w:t>
            </w:r>
            <w:r w:rsidRPr="003479F5">
              <w:rPr>
                <w:lang w:val="en-ID"/>
              </w:rPr>
              <w:t xml:space="preserve">carbon trading targets, procedures for implementation (e.g., certification of </w:t>
            </w:r>
            <w:r w:rsidR="00A325AE" w:rsidRPr="00A325AE">
              <w:rPr>
                <w:color w:val="000000" w:themeColor="text1"/>
                <w:lang w:val="en-ID"/>
              </w:rPr>
              <w:t>greenhouse gas (</w:t>
            </w:r>
            <w:r w:rsidR="00A325AE">
              <w:rPr>
                <w:color w:val="000000" w:themeColor="text1"/>
                <w:lang w:val="en-ID"/>
              </w:rPr>
              <w:t>“</w:t>
            </w:r>
            <w:r w:rsidR="00A325AE" w:rsidRPr="00A325AE">
              <w:rPr>
                <w:b/>
                <w:bCs/>
                <w:color w:val="000000" w:themeColor="text1"/>
                <w:lang w:val="en-ID"/>
              </w:rPr>
              <w:t>GHG</w:t>
            </w:r>
            <w:r w:rsidR="00A325AE" w:rsidRPr="00A325AE">
              <w:rPr>
                <w:color w:val="000000" w:themeColor="text1"/>
                <w:lang w:val="en-ID"/>
              </w:rPr>
              <w:t xml:space="preserve">”) </w:t>
            </w:r>
            <w:r w:rsidRPr="003479F5">
              <w:rPr>
                <w:lang w:val="en-ID"/>
              </w:rPr>
              <w:t>emissions), methods for calculating offsets, trading mechanisms, technical approvals for emission limits</w:t>
            </w:r>
            <w:r w:rsidR="00A325AE">
              <w:rPr>
                <w:lang w:val="en-ID"/>
              </w:rPr>
              <w:t xml:space="preserve"> (“</w:t>
            </w:r>
            <w:r w:rsidR="00A325AE" w:rsidRPr="00A325AE">
              <w:rPr>
                <w:b/>
                <w:bCs/>
                <w:lang w:val="en-ID"/>
              </w:rPr>
              <w:t>PTBAE</w:t>
            </w:r>
            <w:r w:rsidR="00A325AE">
              <w:rPr>
                <w:lang w:val="en-ID"/>
              </w:rPr>
              <w:t>”)</w:t>
            </w:r>
            <w:r w:rsidRPr="003479F5">
              <w:rPr>
                <w:lang w:val="en-ID"/>
              </w:rPr>
              <w:t>, and monitoring mechanisms. As such, it falls squarely within the carbon credits policy domain, which includes tools that establish rules for the generation, use, exchange, and governance of carbon credits in both voluntary and compliance markets.</w:t>
            </w:r>
          </w:p>
          <w:p w14:paraId="18257824" w14:textId="72EF3786" w:rsidR="006E1AE3" w:rsidRPr="003479F5" w:rsidRDefault="003479F5" w:rsidP="00093CA9">
            <w:pPr>
              <w:rPr>
                <w:lang w:val="en-ID"/>
              </w:rPr>
            </w:pPr>
            <w:r w:rsidRPr="003479F5">
              <w:rPr>
                <w:lang w:val="en-ID"/>
              </w:rPr>
              <w:t xml:space="preserve">It is important to note that this regulation was issued to reflect the Government’s commitment to reducing greenhouse gas emissions in the energy sector, as mandated by Presidential Regulation No. 98 of 2021 on the Implementation of Carbon Economic Value to Achieve Nationally Determined Contribution Targets and Control Greenhouse Gas Emissions in Relation to National Development.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E3203F8" w:rsidR="00093CA9" w:rsidRDefault="003479F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BB42CFC" w:rsidR="00093CA9" w:rsidRDefault="003479F5" w:rsidP="00093CA9">
            <w:r>
              <w:t xml:space="preserve">The regulation comes into force on the date of its promulgation which is 27 December 2022.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00766B4" w:rsidR="00093CA9" w:rsidRPr="00173D7C" w:rsidRDefault="003479F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1AAD9C59"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06871DE2" w14:textId="77777777" w:rsidR="00A325AE" w:rsidRPr="00A325AE" w:rsidRDefault="00A325AE" w:rsidP="00A325AE">
            <w:pPr>
              <w:rPr>
                <w:color w:val="000000" w:themeColor="text1"/>
                <w:lang w:val="en-ID"/>
              </w:rPr>
            </w:pPr>
            <w:r w:rsidRPr="00A325AE">
              <w:rPr>
                <w:color w:val="000000" w:themeColor="text1"/>
                <w:lang w:val="en-ID"/>
              </w:rPr>
              <w:t>The regulation outlines three implementation phases:</w:t>
            </w:r>
          </w:p>
          <w:p w14:paraId="08920BBF" w14:textId="77777777" w:rsidR="00A325AE" w:rsidRPr="00A325AE" w:rsidRDefault="00A325AE" w:rsidP="00A325AE">
            <w:pPr>
              <w:numPr>
                <w:ilvl w:val="0"/>
                <w:numId w:val="50"/>
              </w:numPr>
              <w:rPr>
                <w:color w:val="000000" w:themeColor="text1"/>
                <w:lang w:val="en-ID"/>
              </w:rPr>
            </w:pPr>
            <w:r w:rsidRPr="00A325AE">
              <w:rPr>
                <w:color w:val="000000" w:themeColor="text1"/>
                <w:lang w:val="en-ID"/>
              </w:rPr>
              <w:t>Phase one: 2023–2024</w:t>
            </w:r>
          </w:p>
          <w:p w14:paraId="65D94B0B" w14:textId="77777777" w:rsidR="00A325AE" w:rsidRPr="00A325AE" w:rsidRDefault="00A325AE" w:rsidP="00A325AE">
            <w:pPr>
              <w:numPr>
                <w:ilvl w:val="0"/>
                <w:numId w:val="50"/>
              </w:numPr>
              <w:rPr>
                <w:color w:val="000000" w:themeColor="text1"/>
                <w:lang w:val="en-ID"/>
              </w:rPr>
            </w:pPr>
            <w:r w:rsidRPr="00A325AE">
              <w:rPr>
                <w:color w:val="000000" w:themeColor="text1"/>
                <w:lang w:val="en-ID"/>
              </w:rPr>
              <w:t>Phase two: 2025–2027</w:t>
            </w:r>
          </w:p>
          <w:p w14:paraId="5C20C8B9" w14:textId="77777777" w:rsidR="00A325AE" w:rsidRPr="00A325AE" w:rsidRDefault="00A325AE" w:rsidP="00A325AE">
            <w:pPr>
              <w:numPr>
                <w:ilvl w:val="0"/>
                <w:numId w:val="50"/>
              </w:numPr>
              <w:rPr>
                <w:color w:val="000000" w:themeColor="text1"/>
                <w:lang w:val="en-ID"/>
              </w:rPr>
            </w:pPr>
            <w:r w:rsidRPr="00A325AE">
              <w:rPr>
                <w:color w:val="000000" w:themeColor="text1"/>
                <w:lang w:val="en-ID"/>
              </w:rPr>
              <w:t>Phase three: 2028–2030</w:t>
            </w:r>
          </w:p>
          <w:p w14:paraId="70C15857" w14:textId="0F302C0D" w:rsidR="00A325AE" w:rsidRPr="00A325AE" w:rsidRDefault="00A325AE" w:rsidP="00A325AE">
            <w:pPr>
              <w:rPr>
                <w:color w:val="000000" w:themeColor="text1"/>
                <w:lang w:val="en-ID"/>
              </w:rPr>
            </w:pPr>
            <w:r w:rsidRPr="00A325AE">
              <w:rPr>
                <w:color w:val="000000" w:themeColor="text1"/>
                <w:lang w:val="en-ID"/>
              </w:rPr>
              <w:t xml:space="preserve">Each phase sets an upper </w:t>
            </w:r>
            <w:r>
              <w:rPr>
                <w:color w:val="000000" w:themeColor="text1"/>
                <w:lang w:val="en-ID"/>
              </w:rPr>
              <w:t>GHG</w:t>
            </w:r>
            <w:r w:rsidRPr="00A325AE">
              <w:rPr>
                <w:color w:val="000000" w:themeColor="text1"/>
                <w:lang w:val="en-ID"/>
              </w:rPr>
              <w:t xml:space="preserve"> emission limit for power plants</w:t>
            </w:r>
            <w:r>
              <w:rPr>
                <w:color w:val="000000" w:themeColor="text1"/>
                <w:lang w:val="en-ID"/>
              </w:rPr>
              <w:t xml:space="preserve">/PTBAE </w:t>
            </w:r>
            <w:r w:rsidRPr="00A325AE">
              <w:rPr>
                <w:color w:val="000000" w:themeColor="text1"/>
                <w:lang w:val="en-ID"/>
              </w:rPr>
              <w:t>and targets different types of power plants to determine eligibility for carbon trading and offset thresholds.</w:t>
            </w:r>
          </w:p>
          <w:p w14:paraId="4466FA77" w14:textId="77777777" w:rsidR="00A325AE" w:rsidRPr="00A325AE" w:rsidRDefault="00A325AE" w:rsidP="00A325AE">
            <w:pPr>
              <w:rPr>
                <w:color w:val="000000" w:themeColor="text1"/>
                <w:lang w:val="en-ID"/>
              </w:rPr>
            </w:pPr>
            <w:r w:rsidRPr="00A325AE">
              <w:rPr>
                <w:color w:val="000000" w:themeColor="text1"/>
                <w:lang w:val="en-ID"/>
              </w:rPr>
              <w:t>In the first phase, the regulation focuses on coal-fired power plants that are connected to the grid of PT Perusahaan Listrik Negara (Persero) (“</w:t>
            </w:r>
            <w:r w:rsidRPr="00A325AE">
              <w:rPr>
                <w:b/>
                <w:bCs/>
                <w:color w:val="000000" w:themeColor="text1"/>
                <w:lang w:val="en-ID"/>
              </w:rPr>
              <w:t>PLN</w:t>
            </w:r>
            <w:r w:rsidRPr="00A325AE">
              <w:rPr>
                <w:color w:val="000000" w:themeColor="text1"/>
                <w:lang w:val="en-ID"/>
              </w:rPr>
              <w:t>”), the national electricity company.</w:t>
            </w:r>
          </w:p>
          <w:p w14:paraId="3DA3809F" w14:textId="77777777" w:rsidR="00A325AE" w:rsidRPr="00A325AE" w:rsidRDefault="00A325AE" w:rsidP="00A325AE">
            <w:pPr>
              <w:rPr>
                <w:color w:val="000000" w:themeColor="text1"/>
                <w:lang w:val="en-ID"/>
              </w:rPr>
            </w:pPr>
            <w:r w:rsidRPr="00A325AE">
              <w:rPr>
                <w:color w:val="000000" w:themeColor="text1"/>
                <w:lang w:val="en-ID"/>
              </w:rPr>
              <w:t>The specific targets and limits for phases two and three have not yet been determined. However, these phases are expected to cover other types of power plants, including those not connected to the PLN grid.</w:t>
            </w:r>
          </w:p>
          <w:p w14:paraId="1A1B9D26" w14:textId="07AA9DDF" w:rsidR="003479F5" w:rsidRPr="00A325AE" w:rsidRDefault="00A325AE" w:rsidP="003479F5">
            <w:pPr>
              <w:rPr>
                <w:color w:val="000000" w:themeColor="text1"/>
                <w:lang w:val="en-ID"/>
              </w:rPr>
            </w:pPr>
            <w:r w:rsidRPr="00A325AE">
              <w:rPr>
                <w:color w:val="000000" w:themeColor="text1"/>
                <w:lang w:val="en-ID"/>
              </w:rPr>
              <w:t xml:space="preserve">Post-2030, the </w:t>
            </w:r>
            <w:r>
              <w:rPr>
                <w:color w:val="000000" w:themeColor="text1"/>
                <w:lang w:val="en-ID"/>
              </w:rPr>
              <w:t xml:space="preserve">PTBAE </w:t>
            </w:r>
            <w:r w:rsidRPr="00A325AE">
              <w:rPr>
                <w:color w:val="000000" w:themeColor="text1"/>
                <w:lang w:val="en-ID"/>
              </w:rPr>
              <w:t>for each type of power plant will be implemented in accordance with the GHG emission reduction targets set for the energy sector for that period.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949D73D"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7143187" w:rsidR="00093CA9" w:rsidRDefault="00A325AE" w:rsidP="00093CA9">
            <w:r>
              <w:t xml:space="preserve">The Ministry of Energy and Mineral Resources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DD10DB" w:rsidR="0051520D" w:rsidRPr="0051520D" w:rsidRDefault="0051520D" w:rsidP="00093CA9">
            <w:pPr>
              <w:rPr>
                <w:lang w:val="en-ID"/>
              </w:rPr>
            </w:pPr>
            <w:r w:rsidRPr="0051520D">
              <w:rPr>
                <w:lang w:val="en-ID"/>
              </w:rPr>
              <w:t>The Minister, through the Director General, holds key responsibilities in overseeing carbon trading and emissions reduction within the power plant subsector. These include determining the Emission Upper Limit for Business Activities (</w:t>
            </w:r>
            <w:r w:rsidR="00D04CF1">
              <w:rPr>
                <w:lang w:val="en-ID"/>
              </w:rPr>
              <w:t>“</w:t>
            </w:r>
            <w:r w:rsidRPr="00D04CF1">
              <w:rPr>
                <w:b/>
                <w:bCs/>
                <w:lang w:val="en-ID"/>
              </w:rPr>
              <w:t>PTBAE-PU</w:t>
            </w:r>
            <w:r w:rsidR="00D04CF1">
              <w:rPr>
                <w:lang w:val="en-ID"/>
              </w:rPr>
              <w:t>”</w:t>
            </w:r>
            <w:r w:rsidRPr="0051520D">
              <w:rPr>
                <w:lang w:val="en-ID"/>
              </w:rPr>
              <w:t>) for each power plant unit, evaluating GHG emissions reports submitted via the APPLE-</w:t>
            </w:r>
            <w:proofErr w:type="spellStart"/>
            <w:r w:rsidRPr="0051520D">
              <w:rPr>
                <w:lang w:val="en-ID"/>
              </w:rPr>
              <w:t>Gatrik</w:t>
            </w:r>
            <w:proofErr w:type="spellEnd"/>
            <w:r w:rsidRPr="0051520D">
              <w:rPr>
                <w:lang w:val="en-ID"/>
              </w:rPr>
              <w:t xml:space="preserve"> system, and verifying reports that meet regulatory standards. The Director General is also authorized to examine carbon trading results, evaluate the implementation of carbon trading as outlined in the relevant articles, and develop as well as supervise the implementation of the Carbon Economic Value (</w:t>
            </w:r>
            <w:r w:rsidRPr="00D04CF1">
              <w:rPr>
                <w:i/>
                <w:iCs/>
                <w:lang w:val="en-ID"/>
              </w:rPr>
              <w:t>Nilai Ekonomi Karbon</w:t>
            </w:r>
            <w:r w:rsidR="00D04CF1">
              <w:rPr>
                <w:lang w:val="en-ID"/>
              </w:rPr>
              <w:t xml:space="preserve"> </w:t>
            </w:r>
            <w:proofErr w:type="gramStart"/>
            <w:r w:rsidR="00D04CF1">
              <w:rPr>
                <w:lang w:val="en-ID"/>
              </w:rPr>
              <w:t>or ”</w:t>
            </w:r>
            <w:r w:rsidRPr="00D04CF1">
              <w:rPr>
                <w:b/>
                <w:bCs/>
                <w:lang w:val="en-ID"/>
              </w:rPr>
              <w:t>NEK</w:t>
            </w:r>
            <w:proofErr w:type="gramEnd"/>
            <w:r w:rsidR="00D04CF1">
              <w:rPr>
                <w:lang w:val="en-ID"/>
              </w:rPr>
              <w:t>”</w:t>
            </w:r>
            <w:r w:rsidRPr="0051520D">
              <w:rPr>
                <w:lang w:val="en-ID"/>
              </w:rPr>
              <w:t>) in the power plant subsector.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B9B357C" w:rsidR="00093CA9" w:rsidRPr="006B7B0D" w:rsidRDefault="0051520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CA3BF7B"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3F02FFC6" w14:textId="4BA98A7F" w:rsidR="00A573DA" w:rsidRPr="00A573DA" w:rsidRDefault="00A573DA" w:rsidP="00A573DA">
            <w:pPr>
              <w:keepNext/>
              <w:rPr>
                <w:color w:val="000000" w:themeColor="text1"/>
                <w:lang w:val="en-ID"/>
              </w:rPr>
            </w:pPr>
            <w:r w:rsidRPr="00A573DA">
              <w:rPr>
                <w:color w:val="000000" w:themeColor="text1"/>
                <w:lang w:val="en-ID"/>
              </w:rPr>
              <w:t xml:space="preserve">The regulation establishes a comprehensive monitoring system for </w:t>
            </w:r>
            <w:r>
              <w:rPr>
                <w:color w:val="000000" w:themeColor="text1"/>
                <w:lang w:val="en-ID"/>
              </w:rPr>
              <w:t>GHG</w:t>
            </w:r>
            <w:r w:rsidRPr="00A573DA">
              <w:rPr>
                <w:color w:val="000000" w:themeColor="text1"/>
                <w:lang w:val="en-ID"/>
              </w:rPr>
              <w:t xml:space="preserve"> emissions and carbon trading in the power plant subsector. Power plant operators must submit their GHG emissions reports via the APPLE-</w:t>
            </w:r>
            <w:proofErr w:type="spellStart"/>
            <w:r w:rsidRPr="00A573DA">
              <w:rPr>
                <w:color w:val="000000" w:themeColor="text1"/>
                <w:lang w:val="en-ID"/>
              </w:rPr>
              <w:t>Gatrik</w:t>
            </w:r>
            <w:proofErr w:type="spellEnd"/>
            <w:r w:rsidRPr="00A573DA">
              <w:rPr>
                <w:color w:val="000000" w:themeColor="text1"/>
                <w:lang w:val="en-ID"/>
              </w:rPr>
              <w:t xml:space="preserve"> system</w:t>
            </w:r>
            <w:r w:rsidR="002A01C1">
              <w:rPr>
                <w:color w:val="000000" w:themeColor="text1"/>
                <w:lang w:val="en-ID"/>
              </w:rPr>
              <w:t xml:space="preserve"> (Article 19(4))</w:t>
            </w:r>
            <w:r w:rsidRPr="00A573DA">
              <w:rPr>
                <w:color w:val="000000" w:themeColor="text1"/>
                <w:lang w:val="en-ID"/>
              </w:rPr>
              <w:t>. These reports are evaluated by the Minister through the Director General and</w:t>
            </w:r>
            <w:r w:rsidR="002A01C1">
              <w:rPr>
                <w:color w:val="000000" w:themeColor="text1"/>
                <w:lang w:val="en-ID"/>
              </w:rPr>
              <w:t xml:space="preserve"> (Article 23)</w:t>
            </w:r>
            <w:r w:rsidRPr="00A573DA">
              <w:rPr>
                <w:color w:val="000000" w:themeColor="text1"/>
                <w:lang w:val="en-ID"/>
              </w:rPr>
              <w:t>, if deemed compliant, are subject to independent validation and verification by certified Validators and Verifiers who hold business licenses for electricity support services</w:t>
            </w:r>
            <w:r w:rsidR="002A01C1">
              <w:rPr>
                <w:color w:val="000000" w:themeColor="text1"/>
                <w:lang w:val="en-ID"/>
              </w:rPr>
              <w:t xml:space="preserve"> (Article 25(1))</w:t>
            </w:r>
            <w:r w:rsidRPr="00A573DA">
              <w:rPr>
                <w:color w:val="000000" w:themeColor="text1"/>
                <w:lang w:val="en-ID"/>
              </w:rPr>
              <w:t>. This process must be completed by 31 March each year, and verified operators may continue carbon trading until 20 April, based on their surplus PTBAE-PU</w:t>
            </w:r>
            <w:r>
              <w:rPr>
                <w:color w:val="000000" w:themeColor="text1"/>
                <w:lang w:val="en-ID"/>
              </w:rPr>
              <w:t xml:space="preserve"> (Article 25</w:t>
            </w:r>
            <w:r w:rsidR="002A01C1">
              <w:rPr>
                <w:color w:val="000000" w:themeColor="text1"/>
                <w:lang w:val="en-ID"/>
              </w:rPr>
              <w:t>(5)</w:t>
            </w:r>
            <w:r>
              <w:rPr>
                <w:color w:val="000000" w:themeColor="text1"/>
                <w:lang w:val="en-ID"/>
              </w:rPr>
              <w:t>)</w:t>
            </w:r>
            <w:r w:rsidRPr="00A573DA">
              <w:rPr>
                <w:color w:val="000000" w:themeColor="text1"/>
                <w:lang w:val="en-ID"/>
              </w:rPr>
              <w:t>.</w:t>
            </w:r>
          </w:p>
          <w:p w14:paraId="711B1EF3" w14:textId="01D8306C" w:rsidR="00A573DA" w:rsidRPr="00A573DA" w:rsidRDefault="00A573DA" w:rsidP="00A573DA">
            <w:pPr>
              <w:keepNext/>
              <w:rPr>
                <w:color w:val="000000" w:themeColor="text1"/>
                <w:lang w:val="en-ID"/>
              </w:rPr>
            </w:pPr>
            <w:r w:rsidRPr="00A573DA">
              <w:rPr>
                <w:color w:val="000000" w:themeColor="text1"/>
                <w:lang w:val="en-ID"/>
              </w:rPr>
              <w:t>The verified emissions reports also serve as the basis for annual GHG emissions inventory reports for the power plant subsector, which are submitted by the Director General to the Secretary General and contribute to the overall energy sector emissions inventory</w:t>
            </w:r>
            <w:r w:rsidR="00527A6F">
              <w:rPr>
                <w:color w:val="000000" w:themeColor="text1"/>
                <w:lang w:val="en-ID"/>
              </w:rPr>
              <w:t xml:space="preserve"> (Article 29)</w:t>
            </w:r>
            <w:r w:rsidRPr="00A573DA">
              <w:rPr>
                <w:color w:val="000000" w:themeColor="text1"/>
                <w:lang w:val="en-ID"/>
              </w:rPr>
              <w:t>.</w:t>
            </w:r>
          </w:p>
          <w:p w14:paraId="387F502E" w14:textId="52480144" w:rsidR="00A573DA" w:rsidRPr="00A573DA" w:rsidRDefault="00A573DA" w:rsidP="00A573DA">
            <w:pPr>
              <w:keepNext/>
              <w:rPr>
                <w:color w:val="000000" w:themeColor="text1"/>
                <w:lang w:val="en-ID"/>
              </w:rPr>
            </w:pPr>
            <w:r w:rsidRPr="00A573DA">
              <w:rPr>
                <w:color w:val="000000" w:themeColor="text1"/>
                <w:lang w:val="en-ID"/>
              </w:rPr>
              <w:t>Additionally, the Director General is responsible for evaluating the implementation of carbon trading under Articles 13 to 19. If a shortage of PTBAE-PU is identified, the Director General may initiate auctions to supply the market</w:t>
            </w:r>
            <w:r w:rsidR="00527A6F">
              <w:rPr>
                <w:color w:val="000000" w:themeColor="text1"/>
                <w:lang w:val="en-ID"/>
              </w:rPr>
              <w:t xml:space="preserve"> (Article 30)</w:t>
            </w:r>
            <w:r w:rsidRPr="00A573DA">
              <w:rPr>
                <w:color w:val="000000" w:themeColor="text1"/>
                <w:lang w:val="en-ID"/>
              </w:rPr>
              <w:t>.</w:t>
            </w:r>
          </w:p>
          <w:p w14:paraId="2C2128DB" w14:textId="10437607" w:rsidR="00A573DA" w:rsidRPr="002A01C1" w:rsidRDefault="00A573DA" w:rsidP="00093CA9">
            <w:pPr>
              <w:keepNext/>
              <w:rPr>
                <w:color w:val="000000" w:themeColor="text1"/>
                <w:lang w:val="en-ID"/>
              </w:rPr>
            </w:pPr>
            <w:r w:rsidRPr="00A573DA">
              <w:rPr>
                <w:color w:val="000000" w:themeColor="text1"/>
                <w:lang w:val="en-ID"/>
              </w:rPr>
              <w:t xml:space="preserve">To ensure the effective implementation of the </w:t>
            </w:r>
            <w:r w:rsidR="002A01C1">
              <w:rPr>
                <w:color w:val="000000" w:themeColor="text1"/>
                <w:lang w:val="en-ID"/>
              </w:rPr>
              <w:t>NEK</w:t>
            </w:r>
            <w:r w:rsidRPr="00A573DA">
              <w:rPr>
                <w:color w:val="000000" w:themeColor="text1"/>
                <w:lang w:val="en-ID"/>
              </w:rPr>
              <w:t xml:space="preserve"> mechanism, the Director General must also oversee its development and supervision through activities such as socialization, technical guidance, and other relevant measures. An evaluation of NEK implementation is conducted </w:t>
            </w:r>
            <w:r w:rsidRPr="00A573DA">
              <w:rPr>
                <w:color w:val="000000" w:themeColor="text1"/>
                <w:lang w:val="en-ID"/>
              </w:rPr>
              <w:lastRenderedPageBreak/>
              <w:t>every six months, and where challenges arise, the Director General may issue policies to resolve them</w:t>
            </w:r>
            <w:r w:rsidR="00527A6F">
              <w:rPr>
                <w:color w:val="000000" w:themeColor="text1"/>
                <w:lang w:val="en-ID"/>
              </w:rPr>
              <w:t xml:space="preserve"> (Article 32)</w:t>
            </w:r>
            <w:r w:rsidRPr="00A573DA">
              <w:rPr>
                <w:color w:val="000000" w:themeColor="text1"/>
                <w:lang w:val="en-ID"/>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28"/>
        <w:gridCol w:w="3944"/>
        <w:gridCol w:w="148"/>
        <w:gridCol w:w="535"/>
        <w:gridCol w:w="502"/>
        <w:gridCol w:w="852"/>
        <w:gridCol w:w="1845"/>
        <w:gridCol w:w="1907"/>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516A0E6A" w:rsidR="00D4323A" w:rsidRPr="00CF2E7C" w:rsidRDefault="00D4323A" w:rsidP="00CF2E7C">
            <w:pPr>
              <w:rPr>
                <w:rFonts w:ascii="Calibri" w:hAnsi="Calibri" w:cs="Calibri"/>
              </w:rPr>
            </w:pPr>
          </w:p>
        </w:tc>
        <w:tc>
          <w:tcPr>
            <w:tcW w:w="1723" w:type="dxa"/>
            <w:vAlign w:val="center"/>
          </w:tcPr>
          <w:p w14:paraId="0E4790F0" w14:textId="47D3BA9A" w:rsidR="00D4323A" w:rsidRPr="00CF2E7C" w:rsidRDefault="00D53483"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6CB7E779" w:rsidR="00D4323A" w:rsidRPr="00CF2E7C" w:rsidRDefault="00D4323A" w:rsidP="00CF2E7C">
            <w:pPr>
              <w:rPr>
                <w:rFonts w:ascii="Calibri" w:hAnsi="Calibri" w:cs="Calibri"/>
              </w:rPr>
            </w:pPr>
          </w:p>
        </w:tc>
        <w:tc>
          <w:tcPr>
            <w:tcW w:w="1723" w:type="dxa"/>
            <w:vAlign w:val="center"/>
          </w:tcPr>
          <w:p w14:paraId="761CE175" w14:textId="20AA7838" w:rsidR="00D4323A" w:rsidRPr="00CF2E7C" w:rsidRDefault="00D53483"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78394F0" w:rsidR="00D4323A" w:rsidRPr="00CF2E7C" w:rsidRDefault="00130D3C"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78A0735" w:rsidR="00D4323A" w:rsidRPr="00CF2E7C" w:rsidRDefault="00130D3C"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0A07EDA4" w:rsidR="00D4323A" w:rsidRPr="00CF2E7C" w:rsidRDefault="00D53483" w:rsidP="00CF2E7C">
            <w:pPr>
              <w:rPr>
                <w:rFonts w:ascii="Calibri" w:hAnsi="Calibri" w:cs="Calibri"/>
              </w:rPr>
            </w:pPr>
            <w:r>
              <w:rPr>
                <w:rFonts w:ascii="Calibri" w:hAnsi="Calibri" w:cs="Calibri"/>
              </w:rPr>
              <w:t>X</w:t>
            </w:r>
          </w:p>
        </w:tc>
        <w:tc>
          <w:tcPr>
            <w:tcW w:w="1674" w:type="dxa"/>
            <w:vAlign w:val="center"/>
          </w:tcPr>
          <w:p w14:paraId="45D2C527" w14:textId="7FA7EBDA" w:rsidR="00D4323A" w:rsidRPr="00CF2E7C" w:rsidRDefault="00D4323A" w:rsidP="00CF2E7C">
            <w:pPr>
              <w:rPr>
                <w:rFonts w:ascii="Calibri" w:hAnsi="Calibri" w:cs="Calibri"/>
              </w:rPr>
            </w:pPr>
          </w:p>
        </w:tc>
        <w:tc>
          <w:tcPr>
            <w:tcW w:w="1723" w:type="dxa"/>
            <w:vAlign w:val="center"/>
          </w:tcPr>
          <w:p w14:paraId="41E24062" w14:textId="6D34691E"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4673B96" w:rsidR="00D4323A" w:rsidRPr="00CF2E7C" w:rsidRDefault="00130D3C"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765D0E5" w:rsidR="00D4323A" w:rsidRPr="00CF2E7C" w:rsidRDefault="00130D3C"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67CDFF2" w:rsidR="00D4323A" w:rsidRPr="00CF2E7C" w:rsidRDefault="00D53483" w:rsidP="00CF2E7C">
            <w:pPr>
              <w:rPr>
                <w:rFonts w:ascii="Calibri" w:hAnsi="Calibri" w:cs="Calibri"/>
              </w:rPr>
            </w:pPr>
            <w:r>
              <w:rPr>
                <w:rFonts w:ascii="Calibri" w:hAnsi="Calibri" w:cs="Calibri"/>
              </w:rPr>
              <w:t>X</w:t>
            </w:r>
          </w:p>
        </w:tc>
        <w:tc>
          <w:tcPr>
            <w:tcW w:w="1674" w:type="dxa"/>
            <w:vAlign w:val="center"/>
          </w:tcPr>
          <w:p w14:paraId="35A8F84B" w14:textId="25674989"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0BC828F7" w:rsidR="00D4323A" w:rsidRPr="00CF2E7C" w:rsidRDefault="00D4323A" w:rsidP="00CF2E7C">
            <w:pPr>
              <w:rPr>
                <w:rFonts w:ascii="Calibri" w:hAnsi="Calibri" w:cs="Calibri"/>
              </w:rPr>
            </w:pPr>
          </w:p>
        </w:tc>
        <w:tc>
          <w:tcPr>
            <w:tcW w:w="1723" w:type="dxa"/>
            <w:vAlign w:val="center"/>
          </w:tcPr>
          <w:p w14:paraId="2B8AB3B9" w14:textId="18D83FE2" w:rsidR="00D4323A" w:rsidRPr="00CF2E7C" w:rsidRDefault="00130D3C"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1BB26206" w:rsidR="00D4323A" w:rsidRPr="00CF2E7C" w:rsidRDefault="00D53483" w:rsidP="00CF2E7C">
            <w:pPr>
              <w:rPr>
                <w:rFonts w:ascii="Calibri" w:hAnsi="Calibri" w:cs="Calibri"/>
              </w:rPr>
            </w:pPr>
            <w:r>
              <w:rPr>
                <w:rFonts w:ascii="Calibri" w:hAnsi="Calibri" w:cs="Calibri"/>
              </w:rPr>
              <w:t>X</w:t>
            </w:r>
          </w:p>
        </w:tc>
        <w:tc>
          <w:tcPr>
            <w:tcW w:w="1674" w:type="dxa"/>
            <w:vAlign w:val="center"/>
          </w:tcPr>
          <w:p w14:paraId="12DE1980" w14:textId="6DC78E7E"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3F853885"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625B175" w:rsidR="00D4323A" w:rsidRPr="00CF2E7C" w:rsidRDefault="00130D3C"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0F6C0EEC" w:rsidR="00D4323A" w:rsidRPr="00CF2E7C" w:rsidRDefault="00D53483" w:rsidP="00CF2E7C">
            <w:pPr>
              <w:rPr>
                <w:rFonts w:ascii="Calibri" w:hAnsi="Calibri" w:cs="Calibri"/>
              </w:rPr>
            </w:pPr>
            <w:r>
              <w:rPr>
                <w:rFonts w:ascii="Calibri" w:hAnsi="Calibri" w:cs="Calibri"/>
              </w:rPr>
              <w:t>X</w:t>
            </w:r>
          </w:p>
        </w:tc>
        <w:tc>
          <w:tcPr>
            <w:tcW w:w="1674" w:type="dxa"/>
            <w:vAlign w:val="center"/>
          </w:tcPr>
          <w:p w14:paraId="16E1C93C" w14:textId="66380D88"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4231E476" w:rsidR="00092534" w:rsidRPr="00CF2E7C" w:rsidRDefault="00130D3C" w:rsidP="00CF2E7C">
            <w:pPr>
              <w:rPr>
                <w:rFonts w:ascii="Calibri" w:hAnsi="Calibri" w:cs="Calibri"/>
              </w:rPr>
            </w:pPr>
            <w:r w:rsidRPr="00130D3C">
              <w:rPr>
                <w:rFonts w:ascii="Calibri" w:hAnsi="Calibri" w:cs="Calibri"/>
              </w:rPr>
              <w:t>Electricity Business Actor</w:t>
            </w:r>
            <w:r w:rsidR="00D53483">
              <w:rPr>
                <w:rFonts w:ascii="Calibri" w:hAnsi="Calibri" w:cs="Calibri"/>
              </w:rPr>
              <w:t xml:space="preserve"> </w:t>
            </w:r>
            <w:r w:rsidRPr="00130D3C">
              <w:rPr>
                <w:rFonts w:ascii="Calibri" w:hAnsi="Calibri" w:cs="Calibri"/>
              </w:rPr>
              <w:t>is the holder of</w:t>
            </w:r>
            <w:r>
              <w:rPr>
                <w:rFonts w:ascii="Calibri" w:hAnsi="Calibri" w:cs="Calibri"/>
              </w:rPr>
              <w:t xml:space="preserve"> </w:t>
            </w:r>
            <w:r w:rsidRPr="00130D3C">
              <w:rPr>
                <w:rFonts w:ascii="Calibri" w:hAnsi="Calibri" w:cs="Calibri"/>
              </w:rPr>
              <w:t>electricity supply business license for public interest or the holder of electricity supply business license for</w:t>
            </w:r>
            <w:r>
              <w:rPr>
                <w:rFonts w:ascii="Calibri" w:hAnsi="Calibri" w:cs="Calibri"/>
              </w:rPr>
              <w:t xml:space="preserve"> </w:t>
            </w:r>
            <w:r w:rsidRPr="00130D3C">
              <w:rPr>
                <w:rFonts w:ascii="Calibri" w:hAnsi="Calibri" w:cs="Calibri"/>
              </w:rPr>
              <w:t>private interest whose license is issued by the Minister and conduct business and/or activities in the</w:t>
            </w:r>
            <w:r>
              <w:rPr>
                <w:rFonts w:ascii="Calibri" w:hAnsi="Calibri" w:cs="Calibri"/>
              </w:rPr>
              <w:t xml:space="preserve"> </w:t>
            </w:r>
            <w:r w:rsidRPr="00130D3C">
              <w:rPr>
                <w:rFonts w:ascii="Calibri" w:hAnsi="Calibri" w:cs="Calibri"/>
              </w:rPr>
              <w:t>electricity sector</w:t>
            </w:r>
            <w:r>
              <w:rPr>
                <w:rFonts w:ascii="Calibri" w:hAnsi="Calibri" w:cs="Calibri"/>
              </w:rPr>
              <w:t>.</w:t>
            </w:r>
            <w:r w:rsidR="00D53483">
              <w:rPr>
                <w:rFonts w:ascii="Calibri" w:hAnsi="Calibri" w:cs="Calibri"/>
              </w:rPr>
              <w:t xml:space="preserve"> These Business Actors are </w:t>
            </w:r>
            <w:r w:rsidR="00D53483">
              <w:rPr>
                <w:rFonts w:ascii="Calibri" w:hAnsi="Calibri" w:cs="Calibri"/>
              </w:rPr>
              <w:lastRenderedPageBreak/>
              <w:t xml:space="preserve">the target of the policy tool without any further specification on what kind of entity it is specifically.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1F15CE4A" w:rsidR="00092534" w:rsidRPr="00CF2E7C" w:rsidRDefault="00130D3C"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2297BF3B" w:rsidR="00092534" w:rsidRPr="00CF2E7C" w:rsidRDefault="00130D3C"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329005D0" w:rsidR="00092534" w:rsidRPr="00CF2E7C" w:rsidRDefault="00130D3C"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5A3BCC0F" w:rsidR="00092534" w:rsidRPr="00CF2E7C" w:rsidRDefault="00130D3C"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431050F0" w:rsidR="00092534" w:rsidRPr="00CF2E7C" w:rsidRDefault="00130D3C"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63FDD9D5" w:rsidR="00092534" w:rsidRPr="00CF2E7C" w:rsidRDefault="00130D3C"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0B4EA31B"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6E9F799D"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3A181959" w:rsidR="00092534" w:rsidRPr="00CF2E7C" w:rsidRDefault="00130D3C"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9912B65" w:rsidR="00092534" w:rsidRPr="00CF2E7C" w:rsidRDefault="00130D3C"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613AA725" w:rsidR="00092534" w:rsidRPr="00CF2E7C" w:rsidRDefault="00130D3C"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82EE51A" w:rsidR="00092534" w:rsidRPr="00CF2E7C" w:rsidRDefault="00130D3C"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222B0E09" w:rsidR="00092534" w:rsidRPr="00CF2E7C" w:rsidRDefault="00130D3C"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68C62FB5" w:rsidR="00092534" w:rsidRPr="00CF2E7C" w:rsidRDefault="00130D3C"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62114B0" w:rsidR="00092534" w:rsidRPr="00CF2E7C" w:rsidRDefault="00130D3C"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lastRenderedPageBreak/>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C231077" w:rsidR="00092534" w:rsidRPr="00CF2E7C" w:rsidRDefault="00130D3C"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83B9AA4" w:rsidR="00092534" w:rsidRPr="00CF2E7C" w:rsidRDefault="00130D3C"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51A877B1" w:rsidR="00092534" w:rsidRPr="00CF2E7C" w:rsidRDefault="00130D3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704B3A4" w:rsidR="00092534" w:rsidRPr="00CF2E7C" w:rsidRDefault="00130D3C"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A6C7B77" w:rsidR="00092534" w:rsidRPr="00CF2E7C" w:rsidRDefault="00130D3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4EC93263" w:rsidR="00092534" w:rsidRPr="00CF2E7C" w:rsidRDefault="00130D3C"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179ED59C" w:rsidR="00092534" w:rsidRPr="00CF2E7C" w:rsidRDefault="00130D3C"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3758CC0" w:rsidR="00092534" w:rsidRPr="00CF2E7C" w:rsidRDefault="00130D3C"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FA57BBE" w:rsidR="00092534" w:rsidRPr="00CF2E7C" w:rsidRDefault="00130D3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A88E144" w:rsidR="00092534" w:rsidRPr="00CF2E7C" w:rsidRDefault="00130D3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036E537" w:rsidR="00092534" w:rsidRPr="00CF2E7C" w:rsidRDefault="00130D3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65043DF4" w:rsidR="00092534" w:rsidRPr="00CF2E7C" w:rsidRDefault="00130D3C"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EC9A4B6" w:rsidR="00092534" w:rsidRPr="00CF2E7C" w:rsidRDefault="00130D3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8C0C99C" w:rsidR="00092534" w:rsidRPr="00CF2E7C" w:rsidRDefault="00130D3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27034A4D" w:rsidR="00092534" w:rsidRPr="00CF2E7C" w:rsidRDefault="00130D3C"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3E0D613B"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lastRenderedPageBreak/>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2E4E10A5" w:rsidR="00092534" w:rsidRPr="008F2047" w:rsidRDefault="008F2047" w:rsidP="00CF2E7C">
            <w:pPr>
              <w:rPr>
                <w:rFonts w:ascii="Calibri" w:hAnsi="Calibri" w:cs="Calibri"/>
                <w:lang w:val="en-ID"/>
              </w:rPr>
            </w:pPr>
            <w:r w:rsidRPr="008F2047">
              <w:rPr>
                <w:rFonts w:ascii="Calibri" w:hAnsi="Calibri" w:cs="Calibri"/>
                <w:lang w:val="en-ID"/>
              </w:rPr>
              <w:t xml:space="preserve">This policy tool is specifically designed for the implementation of the </w:t>
            </w:r>
            <w:r>
              <w:rPr>
                <w:rFonts w:ascii="Calibri" w:hAnsi="Calibri" w:cs="Calibri"/>
                <w:lang w:val="en-ID"/>
              </w:rPr>
              <w:t xml:space="preserve">NEK </w:t>
            </w:r>
            <w:r w:rsidRPr="008F2047">
              <w:rPr>
                <w:rFonts w:ascii="Calibri" w:hAnsi="Calibri" w:cs="Calibri"/>
                <w:lang w:val="en-ID"/>
              </w:rPr>
              <w:t>in the power plant subsector. As such, all rules and guidance under the regulation are directed solely at the electricity sector, with a particular focus on power plants. For example, in Phase 1, the regulation specifically targets coal-fired power plants that are connected to the PLN grid.</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39A8E991"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25DC198E"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1A0AE01A"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1F08FBE"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45C46833"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1C7E848"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35028181" w:rsidR="00092534" w:rsidRPr="00CF2E7C" w:rsidRDefault="008B0611" w:rsidP="00CF2E7C">
            <w:pPr>
              <w:rPr>
                <w:rFonts w:ascii="Calibri" w:hAnsi="Calibri" w:cs="Calibri"/>
              </w:rPr>
            </w:pPr>
            <w:r>
              <w:rPr>
                <w:rFonts w:ascii="Calibri" w:hAnsi="Calibri" w:cs="Calibri"/>
              </w:rPr>
              <w:t xml:space="preserve">X </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68E82865"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lastRenderedPageBreak/>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F89A9DE" w:rsidR="00DB1E72" w:rsidRPr="00CF2E7C" w:rsidRDefault="008F2047"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3104114E" w:rsidR="00DB1E72" w:rsidRPr="00CF2E7C" w:rsidRDefault="00F03B5E"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5FA3FBE9" w:rsidR="00DB1E72" w:rsidRPr="00F03B5E" w:rsidRDefault="00F03B5E" w:rsidP="00CF2E7C">
            <w:pPr>
              <w:rPr>
                <w:rFonts w:ascii="Calibri" w:hAnsi="Calibri" w:cs="Calibri"/>
                <w:lang w:val="en-ID"/>
              </w:rPr>
            </w:pPr>
            <w:r w:rsidRPr="00F03B5E">
              <w:rPr>
                <w:rFonts w:ascii="Calibri" w:hAnsi="Calibri" w:cs="Calibri"/>
                <w:lang w:val="en-ID"/>
              </w:rPr>
              <w:t>If business actors fail to submit the required reports or fulfil other prerequisites, they will not be allowed to participate in carbon trading during the relevant annual GHG emissions monitoring period. Additionally, any carbon trading transactions they conducted during the previous period will not be recognized or considered.</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0418BA40" w:rsidR="00092534" w:rsidRPr="00CF2E7C" w:rsidRDefault="00F03B5E"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334EFFF5" w14:textId="02B2580C" w:rsidR="00ED158C" w:rsidRPr="00ED158C" w:rsidRDefault="00327DB8" w:rsidP="00ED158C">
            <w:r w:rsidRPr="00ED158C">
              <w:t>The compliance carbon market was launched in 2023 and is being implemented in three phases. The first phase (2023–2024) is initially to be limited to coal-fired power plants (</w:t>
            </w:r>
            <w:r w:rsidRPr="00ED158C">
              <w:rPr>
                <w:b/>
                <w:bCs/>
              </w:rPr>
              <w:t>PLTUs</w:t>
            </w:r>
            <w:r w:rsidRPr="00ED158C">
              <w:t>) connected to PLN’s grid. This phase is currently ongoing, and covered 99 coal-fired PLTUs in 2023, with an additional 47 PLTUs included in 2024 – bringing the total number of covered PLTUS in this phase to 146 PLTUs. However</w:t>
            </w:r>
            <w:r w:rsidR="0081060E">
              <w:t>,</w:t>
            </w:r>
            <w:r w:rsidRPr="00ED158C">
              <w:t xml:space="preserve"> no sale </w:t>
            </w:r>
            <w:r w:rsidR="0081060E" w:rsidRPr="00ED158C">
              <w:t>has</w:t>
            </w:r>
            <w:r w:rsidRPr="00ED158C">
              <w:t xml:space="preserve"> been conducted to date during this phase. </w:t>
            </w:r>
            <w:r w:rsidR="0081060E">
              <w:t xml:space="preserve">Additionally, </w:t>
            </w:r>
            <w:r w:rsidRPr="00ED158C">
              <w:lastRenderedPageBreak/>
              <w:t xml:space="preserve">MEMR Decree No. 14.K/TL.04/MEM.L/2023 </w:t>
            </w:r>
            <w:r w:rsidR="0081060E">
              <w:t xml:space="preserve">was created to further implement the policy tool and </w:t>
            </w:r>
            <w:r w:rsidRPr="00ED158C">
              <w:t xml:space="preserve">sets forth the </w:t>
            </w:r>
            <w:r w:rsidR="0081060E">
              <w:t xml:space="preserve">PTBAE </w:t>
            </w:r>
            <w:r w:rsidRPr="00ED158C">
              <w:t>applicable for the coal-fired PLTUs falling within the scope of the first phase.</w:t>
            </w:r>
          </w:p>
          <w:p w14:paraId="4DE1D8BF" w14:textId="7DAA2C38" w:rsidR="00092534" w:rsidRDefault="00327DB8" w:rsidP="00ED158C">
            <w:r w:rsidRPr="00ED158C">
              <w:t xml:space="preserve">The second phase (2025-2027) and the third phase (2028-2030) will expand coverage to include oil- and gas-fired PLTUs, as well as coal-fired PLTUs not connected to PLN’s grid. The PTBAE for the second and third phases has not yet been determined, despite an applicable deadline of 31 December 2024, but is expected to be more stringent than that of the first phase. However, several policy and regulatory issues have delayed its effective implementation. </w:t>
            </w:r>
          </w:p>
          <w:p w14:paraId="2E4E3411" w14:textId="77777777" w:rsidR="0081060E" w:rsidRDefault="0081060E" w:rsidP="00ED158C"/>
          <w:p w14:paraId="2C6AA36D" w14:textId="77777777" w:rsidR="0081060E" w:rsidRDefault="0081060E" w:rsidP="00ED158C">
            <w:r>
              <w:t xml:space="preserve">Sources: </w:t>
            </w:r>
          </w:p>
          <w:p w14:paraId="3EBD36B8" w14:textId="77777777" w:rsidR="00C00BAC" w:rsidRDefault="00C00BAC" w:rsidP="0081060E">
            <w:pPr>
              <w:pStyle w:val="ListParagraph"/>
              <w:numPr>
                <w:ilvl w:val="0"/>
                <w:numId w:val="51"/>
              </w:numPr>
            </w:pPr>
            <w:hyperlink r:id="rId18" w:history="1">
              <w:r w:rsidRPr="0019546C">
                <w:rPr>
                  <w:rStyle w:val="Hyperlink"/>
                </w:rPr>
                <w:t>https://web.archive.org/web/20250730033145/https://esdm.go.id/id/media-center/arsip-berita/menteri-esdm-luncurkan-perdagangan-karbon-subsektor-pembangkit-listrik-</w:t>
              </w:r>
            </w:hyperlink>
            <w:r>
              <w:t xml:space="preserve"> </w:t>
            </w:r>
          </w:p>
          <w:p w14:paraId="3FA8F03B" w14:textId="3D429790" w:rsidR="00C00BAC" w:rsidRDefault="00C00BAC" w:rsidP="0081060E">
            <w:pPr>
              <w:pStyle w:val="ListParagraph"/>
              <w:numPr>
                <w:ilvl w:val="0"/>
                <w:numId w:val="51"/>
              </w:numPr>
            </w:pPr>
            <w:hyperlink r:id="rId19" w:history="1">
              <w:r w:rsidRPr="0019546C">
                <w:rPr>
                  <w:rStyle w:val="Hyperlink"/>
                </w:rPr>
                <w:t>https://web.archive.org/web/20250730032933/https://icapcarbonaction.com/system/files/ets_pdfs/icap-etsmap-factsheet-104.pdf</w:t>
              </w:r>
            </w:hyperlink>
            <w:r>
              <w:t xml:space="preserve"> </w:t>
            </w:r>
          </w:p>
          <w:p w14:paraId="73EA1F96" w14:textId="77777777" w:rsidR="00C00BAC" w:rsidRDefault="00C00BAC" w:rsidP="0081060E">
            <w:pPr>
              <w:pStyle w:val="ListParagraph"/>
              <w:numPr>
                <w:ilvl w:val="0"/>
                <w:numId w:val="51"/>
              </w:numPr>
            </w:pPr>
            <w:hyperlink r:id="rId20" w:history="1">
              <w:r w:rsidRPr="0019546C">
                <w:rPr>
                  <w:rStyle w:val="Hyperlink"/>
                </w:rPr>
                <w:t>https://web.archive.org/web/20250730033157/https://carbon-pulse.com/369491/</w:t>
              </w:r>
            </w:hyperlink>
            <w:r>
              <w:t xml:space="preserve"> </w:t>
            </w:r>
          </w:p>
          <w:p w14:paraId="4E9BC062" w14:textId="5652B83E" w:rsidR="0081060E" w:rsidRPr="0081060E" w:rsidRDefault="00C00BAC" w:rsidP="0081060E">
            <w:pPr>
              <w:pStyle w:val="ListParagraph"/>
              <w:numPr>
                <w:ilvl w:val="0"/>
                <w:numId w:val="51"/>
              </w:numPr>
            </w:pPr>
            <w:hyperlink r:id="rId21" w:history="1">
              <w:r w:rsidRPr="0019546C">
                <w:rPr>
                  <w:rStyle w:val="Hyperlink"/>
                </w:rPr>
                <w:t>https://web.archive.org/web/20250730033200/https://www.spglobal.com/commodity-insights/en/news-research/latest-news/energy-transition/121324-commodities-2025-asias-emerging-compliance-carbon-markets-to-gather-pace</w:t>
              </w:r>
            </w:hyperlink>
            <w: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201AAB30" w:rsidR="00092534" w:rsidRPr="00CF2E7C" w:rsidRDefault="00ED158C"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517FDD0E"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00B3E8ED" w:rsidR="00092534" w:rsidRPr="00CF2E7C" w:rsidRDefault="00ED158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3EAB3914"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0EE863FC" w:rsidR="00D46B07" w:rsidRPr="00CF2E7C" w:rsidRDefault="008106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0EBF9D95" w:rsidR="00D46B07" w:rsidRPr="00CF2E7C" w:rsidRDefault="008106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61840DAE"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80D04E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1060E">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5682702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1060E">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5157EA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1060E">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04A7C700" w:rsidR="00D46B07" w:rsidRPr="00CF2E7C" w:rsidRDefault="008106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5620C15B"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4E14FF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1060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168BF5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1060E">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1253DE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1060E">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367FFE7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1060E">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67517D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1060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2FB4AB" w14:textId="77777777" w:rsidR="00702413"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roofErr w:type="spellStart"/>
            <w:r w:rsidR="0081060E" w:rsidRPr="0081060E">
              <w:rPr>
                <w:rFonts w:ascii="Calibri" w:eastAsia="Times New Roman" w:hAnsi="Calibri" w:cs="Calibri"/>
                <w:kern w:val="0"/>
                <w:lang w:eastAsia="en-GB"/>
                <w14:ligatures w14:val="none"/>
              </w:rPr>
              <w:t>Sertifikat</w:t>
            </w:r>
            <w:proofErr w:type="spellEnd"/>
            <w:r w:rsidR="0081060E" w:rsidRPr="0081060E">
              <w:rPr>
                <w:rFonts w:ascii="Calibri" w:eastAsia="Times New Roman" w:hAnsi="Calibri" w:cs="Calibri"/>
                <w:kern w:val="0"/>
                <w:lang w:eastAsia="en-GB"/>
                <w14:ligatures w14:val="none"/>
              </w:rPr>
              <w:t xml:space="preserve"> </w:t>
            </w:r>
            <w:proofErr w:type="spellStart"/>
            <w:r w:rsidR="0081060E" w:rsidRPr="0081060E">
              <w:rPr>
                <w:rFonts w:ascii="Calibri" w:eastAsia="Times New Roman" w:hAnsi="Calibri" w:cs="Calibri"/>
                <w:kern w:val="0"/>
                <w:lang w:eastAsia="en-GB"/>
                <w14:ligatures w14:val="none"/>
              </w:rPr>
              <w:t>Pengurangan</w:t>
            </w:r>
            <w:proofErr w:type="spellEnd"/>
            <w:r w:rsidR="0081060E" w:rsidRPr="0081060E">
              <w:rPr>
                <w:rFonts w:ascii="Calibri" w:eastAsia="Times New Roman" w:hAnsi="Calibri" w:cs="Calibri"/>
                <w:kern w:val="0"/>
                <w:lang w:eastAsia="en-GB"/>
                <w14:ligatures w14:val="none"/>
              </w:rPr>
              <w:t xml:space="preserve"> </w:t>
            </w:r>
            <w:proofErr w:type="spellStart"/>
            <w:r w:rsidR="0081060E" w:rsidRPr="0081060E">
              <w:rPr>
                <w:rFonts w:ascii="Calibri" w:eastAsia="Times New Roman" w:hAnsi="Calibri" w:cs="Calibri"/>
                <w:kern w:val="0"/>
                <w:lang w:eastAsia="en-GB"/>
                <w14:ligatures w14:val="none"/>
              </w:rPr>
              <w:t>Emisi</w:t>
            </w:r>
            <w:proofErr w:type="spellEnd"/>
            <w:r w:rsidR="0081060E" w:rsidRPr="0081060E">
              <w:rPr>
                <w:rFonts w:ascii="Calibri" w:eastAsia="Times New Roman" w:hAnsi="Calibri" w:cs="Calibri"/>
                <w:kern w:val="0"/>
                <w:lang w:eastAsia="en-GB"/>
                <w14:ligatures w14:val="none"/>
              </w:rPr>
              <w:t xml:space="preserve"> - Gas Rumah Kaca (</w:t>
            </w:r>
            <w:r w:rsidR="0081060E">
              <w:rPr>
                <w:rFonts w:ascii="Calibri" w:eastAsia="Times New Roman" w:hAnsi="Calibri" w:cs="Calibri"/>
                <w:kern w:val="0"/>
                <w:lang w:eastAsia="en-GB"/>
                <w14:ligatures w14:val="none"/>
              </w:rPr>
              <w:t>“</w:t>
            </w:r>
            <w:r w:rsidR="0081060E" w:rsidRPr="0081060E">
              <w:rPr>
                <w:rFonts w:ascii="Calibri" w:eastAsia="Times New Roman" w:hAnsi="Calibri" w:cs="Calibri"/>
                <w:b/>
                <w:bCs/>
                <w:kern w:val="0"/>
                <w:lang w:eastAsia="en-GB"/>
                <w14:ligatures w14:val="none"/>
              </w:rPr>
              <w:t>SPE-GRK</w:t>
            </w:r>
            <w:r w:rsidR="0081060E">
              <w:rPr>
                <w:rFonts w:ascii="Calibri" w:eastAsia="Times New Roman" w:hAnsi="Calibri" w:cs="Calibri"/>
                <w:kern w:val="0"/>
                <w:lang w:eastAsia="en-GB"/>
                <w14:ligatures w14:val="none"/>
              </w:rPr>
              <w:t>”</w:t>
            </w:r>
            <w:r w:rsidR="0081060E" w:rsidRPr="0081060E">
              <w:rPr>
                <w:rFonts w:ascii="Calibri" w:eastAsia="Times New Roman" w:hAnsi="Calibri" w:cs="Calibri"/>
                <w:kern w:val="0"/>
                <w:lang w:eastAsia="en-GB"/>
                <w14:ligatures w14:val="none"/>
              </w:rPr>
              <w:t>), commonly known as Carbon Credit, is a letter of emission reduction certificate owned by an entity that has completed Measuring, Reporting, and Verification phase, and registered in National Registry System for Climate Change Control in the form of a registry number.</w:t>
            </w:r>
          </w:p>
          <w:p w14:paraId="52A30FC7" w14:textId="77777777" w:rsidR="00F31A0E" w:rsidRDefault="00F31A0E" w:rsidP="00CF2E7C">
            <w:pPr>
              <w:textAlignment w:val="baseline"/>
              <w:rPr>
                <w:rFonts w:ascii="Calibri" w:eastAsia="Times New Roman" w:hAnsi="Calibri" w:cs="Calibri"/>
                <w:kern w:val="0"/>
                <w:lang w:eastAsia="en-GB"/>
                <w14:ligatures w14:val="none"/>
              </w:rPr>
            </w:pPr>
          </w:p>
          <w:p w14:paraId="38C2165D" w14:textId="594D4A19" w:rsidR="00F31A0E" w:rsidRPr="00CF2E7C" w:rsidRDefault="00F31A0E" w:rsidP="00CF2E7C">
            <w:pPr>
              <w:textAlignment w:val="baseline"/>
              <w:rPr>
                <w:rFonts w:ascii="Calibri" w:eastAsia="Times New Roman" w:hAnsi="Calibri" w:cs="Calibri"/>
                <w:kern w:val="0"/>
                <w:lang w:eastAsia="en-GB"/>
                <w14:ligatures w14:val="none"/>
              </w:rPr>
            </w:pPr>
            <w:hyperlink r:id="rId22" w:history="1">
              <w:r w:rsidRPr="0019546C">
                <w:rPr>
                  <w:rStyle w:val="Hyperlink"/>
                  <w:rFonts w:ascii="Calibri" w:eastAsia="Times New Roman" w:hAnsi="Calibri" w:cs="Calibri"/>
                  <w:kern w:val="0"/>
                  <w:lang w:eastAsia="en-GB"/>
                  <w14:ligatures w14:val="none"/>
                </w:rPr>
                <w:t>https://web.archive.org/web/20250730033525/https://srn.menlhk.go.id/spe/</w:t>
              </w:r>
            </w:hyperlink>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1F81A704" w:rsidR="00343937" w:rsidRPr="00CF2E7C" w:rsidRDefault="00D534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7B0F92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4BF0F4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5E5BC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0989B98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0FFB2E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322DE7E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0C05ABC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110B861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02242C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40C24B7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8D537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683867C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3EE39DEC" w:rsidR="000A6F11" w:rsidRPr="00CF2E7C" w:rsidRDefault="00D534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26A47C62"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E64AC3">
        <w:rPr>
          <w:rStyle w:val="Heading3Char"/>
          <w:rFonts w:cstheme="minorBidi"/>
          <w:sz w:val="24"/>
          <w:szCs w:val="24"/>
        </w:rPr>
        <w:t xml:space="preserve">Section </w:t>
      </w:r>
      <w:r w:rsidR="00B20D58" w:rsidRPr="00E64AC3">
        <w:rPr>
          <w:rStyle w:val="Heading3Char"/>
          <w:rFonts w:cstheme="minorBidi"/>
          <w:sz w:val="24"/>
          <w:szCs w:val="24"/>
        </w:rPr>
        <w:t>4</w:t>
      </w:r>
      <w:r w:rsidR="00D2196F" w:rsidRPr="00E64AC3">
        <w:rPr>
          <w:rStyle w:val="Heading3Char"/>
          <w:rFonts w:cstheme="minorBidi"/>
          <w:sz w:val="24"/>
          <w:szCs w:val="24"/>
        </w:rPr>
        <w:t>.4.</w:t>
      </w:r>
      <w:r w:rsidRPr="00E64AC3">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0EB19B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348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C9EB4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6F8765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384394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13AF52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47EA0E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92869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1E650A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255A56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15AC6B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6228B56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60779">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50D6E788" w:rsidR="00047A9C" w:rsidRPr="00CF2E7C" w:rsidRDefault="000178F6" w:rsidP="000178F6">
            <w:pPr>
              <w:textAlignment w:val="baseline"/>
              <w:rPr>
                <w:rFonts w:ascii="Calibri" w:eastAsia="Times New Roman" w:hAnsi="Calibri" w:cs="Calibri"/>
                <w:kern w:val="0"/>
                <w:lang w:eastAsia="en-GB"/>
                <w14:ligatures w14:val="none"/>
              </w:rPr>
            </w:pPr>
            <w:r w:rsidRPr="000178F6">
              <w:rPr>
                <w:rFonts w:ascii="Calibri" w:eastAsia="Times New Roman" w:hAnsi="Calibri" w:cs="Calibri"/>
                <w:kern w:val="0"/>
                <w:lang w:eastAsia="en-GB"/>
                <w14:ligatures w14:val="none"/>
              </w:rPr>
              <w:t>The GRK Emissions Report of a power plant, once declared compliant by the Minister via the Director-General, must undergo Validation and Verification by independent Validators and Verifiers who are licensed for electricity support services</w:t>
            </w:r>
            <w:r>
              <w:rPr>
                <w:rFonts w:ascii="Calibri" w:eastAsia="Times New Roman" w:hAnsi="Calibri" w:cs="Calibri"/>
                <w:kern w:val="0"/>
                <w:lang w:eastAsia="en-GB"/>
                <w14:ligatures w14:val="none"/>
              </w:rPr>
              <w:t xml:space="preserve"> (Article 25)</w:t>
            </w:r>
            <w:r w:rsidRPr="000178F6">
              <w:rPr>
                <w:rFonts w:ascii="Calibri" w:eastAsia="Times New Roman" w:hAnsi="Calibri" w:cs="Calibri"/>
                <w:kern w:val="0"/>
                <w:lang w:eastAsia="en-GB"/>
                <w14:ligatures w14:val="none"/>
              </w:rPr>
              <w:t xml:space="preserve">. If there are not enough independent Validators and Verifiers, registered experts in </w:t>
            </w:r>
            <w:r>
              <w:rPr>
                <w:rFonts w:ascii="Calibri" w:eastAsia="Times New Roman" w:hAnsi="Calibri" w:cs="Calibri"/>
                <w:kern w:val="0"/>
                <w:lang w:eastAsia="en-GB"/>
                <w14:ligatures w14:val="none"/>
              </w:rPr>
              <w:t xml:space="preserve">the </w:t>
            </w:r>
            <w:r w:rsidRPr="000178F6">
              <w:rPr>
                <w:rFonts w:ascii="Calibri" w:eastAsia="Times New Roman" w:hAnsi="Calibri" w:cs="Calibri"/>
                <w:kern w:val="0"/>
                <w:lang w:eastAsia="en-GB"/>
                <w14:ligatures w14:val="none"/>
              </w:rPr>
              <w:t xml:space="preserve">National Registry System for the Control over Climate Change </w:t>
            </w:r>
            <w:r>
              <w:rPr>
                <w:rFonts w:ascii="Calibri" w:eastAsia="Times New Roman" w:hAnsi="Calibri" w:cs="Calibri"/>
                <w:kern w:val="0"/>
                <w:lang w:eastAsia="en-GB"/>
                <w14:ligatures w14:val="none"/>
              </w:rPr>
              <w:t>(“</w:t>
            </w:r>
            <w:r w:rsidRPr="000178F6">
              <w:rPr>
                <w:rFonts w:ascii="Calibri" w:eastAsia="Times New Roman" w:hAnsi="Calibri" w:cs="Calibri"/>
                <w:b/>
                <w:bCs/>
                <w:kern w:val="0"/>
                <w:lang w:eastAsia="en-GB"/>
                <w14:ligatures w14:val="none"/>
              </w:rPr>
              <w:t>SRN PPI</w:t>
            </w:r>
            <w:r>
              <w:rPr>
                <w:rFonts w:ascii="Calibri" w:eastAsia="Times New Roman" w:hAnsi="Calibri" w:cs="Calibri"/>
                <w:kern w:val="0"/>
                <w:lang w:eastAsia="en-GB"/>
                <w14:ligatures w14:val="none"/>
              </w:rPr>
              <w:t>”)</w:t>
            </w:r>
            <w:r w:rsidRPr="000178F6">
              <w:rPr>
                <w:rFonts w:ascii="Calibri" w:eastAsia="Times New Roman" w:hAnsi="Calibri" w:cs="Calibri"/>
                <w:kern w:val="0"/>
                <w:lang w:eastAsia="en-GB"/>
                <w14:ligatures w14:val="none"/>
              </w:rPr>
              <w:t xml:space="preserve"> may carry out the Validation and Verification</w:t>
            </w:r>
            <w:r>
              <w:rPr>
                <w:rFonts w:ascii="Calibri" w:eastAsia="Times New Roman" w:hAnsi="Calibri" w:cs="Calibri"/>
                <w:kern w:val="0"/>
                <w:lang w:eastAsia="en-GB"/>
                <w14:ligatures w14:val="none"/>
              </w:rPr>
              <w:t xml:space="preserve"> (Article 26)</w:t>
            </w:r>
            <w:r w:rsidRPr="000178F6">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lastRenderedPageBreak/>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5F7D1D7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8F6">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5DE0BFB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8F6">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1226B2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8F6">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18C8B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8F6">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53F24F8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A0DC0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68D8C278"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5389D14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92D5F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0CBBC7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1ADA17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5AB90C1F"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166D04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6F4E9D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35F6D5B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5972AA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1EFB07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3474A5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4744C634"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1EDB3C17" w:rsidR="00DD694D" w:rsidRPr="00CF2E7C" w:rsidRDefault="00E64A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3B2FCDD2"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12B7509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1D9B150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6183AB6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1352744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19F556B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AC3">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33F7B3F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6DCC2C96"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4661E0">
        <w:lastRenderedPageBreak/>
        <w:t xml:space="preserve">Section </w:t>
      </w:r>
      <w:r w:rsidR="00B20D58" w:rsidRPr="004661E0">
        <w:t>4</w:t>
      </w:r>
      <w:r w:rsidR="00D2196F" w:rsidRPr="004661E0">
        <w:t>.4.2</w:t>
      </w:r>
      <w:r w:rsidRPr="004661E0">
        <w:t>: 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5A8C704C" w:rsidR="00B87C89" w:rsidRPr="00CF2E7C" w:rsidRDefault="00E64A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582F7E7B"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428ECE5" w:rsidR="002119B6" w:rsidRPr="00CF2E7C" w:rsidRDefault="004661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6DCE7344"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57995376" w:rsidR="002119B6" w:rsidRPr="004661E0" w:rsidRDefault="004661E0" w:rsidP="00CF2E7C">
            <w:pPr>
              <w:textAlignment w:val="baseline"/>
              <w:rPr>
                <w:rFonts w:ascii="Calibri" w:eastAsia="Times New Roman" w:hAnsi="Calibri" w:cs="Calibri"/>
                <w:kern w:val="0"/>
                <w:lang w:val="en-ID" w:eastAsia="en-GB"/>
                <w14:ligatures w14:val="none"/>
              </w:rPr>
            </w:pPr>
            <w:r>
              <w:rPr>
                <w:rFonts w:ascii="Calibri" w:eastAsia="Times New Roman" w:hAnsi="Calibri" w:cs="Calibri"/>
                <w:kern w:val="0"/>
                <w:lang w:val="en-ID" w:eastAsia="en-GB"/>
                <w14:ligatures w14:val="none"/>
              </w:rPr>
              <w:t>B</w:t>
            </w:r>
            <w:r w:rsidRPr="004661E0">
              <w:rPr>
                <w:rFonts w:ascii="Calibri" w:eastAsia="Times New Roman" w:hAnsi="Calibri" w:cs="Calibri"/>
                <w:kern w:val="0"/>
                <w:lang w:val="en-ID" w:eastAsia="en-GB"/>
                <w14:ligatures w14:val="none"/>
              </w:rPr>
              <w:t>usinesses or activities without a</w:t>
            </w:r>
            <w:r>
              <w:rPr>
                <w:rFonts w:ascii="Calibri" w:eastAsia="Times New Roman" w:hAnsi="Calibri" w:cs="Calibri"/>
                <w:kern w:val="0"/>
                <w:lang w:val="en-ID" w:eastAsia="en-GB"/>
                <w14:ligatures w14:val="none"/>
              </w:rPr>
              <w:t xml:space="preserve"> PTBAE</w:t>
            </w:r>
            <w:r w:rsidRPr="004661E0">
              <w:rPr>
                <w:rFonts w:ascii="Calibri" w:eastAsia="Times New Roman" w:hAnsi="Calibri" w:cs="Calibri"/>
                <w:kern w:val="0"/>
                <w:lang w:val="en-ID" w:eastAsia="en-GB"/>
                <w14:ligatures w14:val="none"/>
              </w:rPr>
              <w:t xml:space="preserve"> can fulfil their emissions reduction responsibilities by using mitigation results achieved by other entities. The offsetting can only be conducted by businesses or activities that have obtained an SPE-GRK, which must be issued in line with relevant </w:t>
            </w:r>
            <w:r w:rsidRPr="004661E0">
              <w:rPr>
                <w:rFonts w:ascii="Calibri" w:eastAsia="Times New Roman" w:hAnsi="Calibri" w:cs="Calibri"/>
                <w:kern w:val="0"/>
                <w:lang w:val="en-ID" w:eastAsia="en-GB"/>
                <w14:ligatures w14:val="none"/>
              </w:rPr>
              <w:lastRenderedPageBreak/>
              <w:t>environmental laws and regulations. Eligible sources for these offsets include emissions reduction activities within the energy sector, such as renewable energy generation, energy efficiency in transportation, buildings, and industry, and other qualified actions within the energy sector.</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12DD54E4" w:rsidR="00FE7FA5" w:rsidRPr="00CF2E7C" w:rsidRDefault="004661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18EC7D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5377C5E0"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4B2FAAF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EBDFD5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9AD2DB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3BF1B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358702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17715A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2B962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4D1506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34EEF5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0611">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6E1DCA05"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91949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5A221F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6A243F4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0B9C4D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066278F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AC833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1E0">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2D503ECA"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3C22C6" w14:textId="77777777" w:rsidR="002C16E3" w:rsidRDefault="002C16E3" w:rsidP="00874E39">
      <w:r>
        <w:separator/>
      </w:r>
    </w:p>
  </w:endnote>
  <w:endnote w:type="continuationSeparator" w:id="0">
    <w:p w14:paraId="215B095F" w14:textId="77777777" w:rsidR="002C16E3" w:rsidRDefault="002C16E3" w:rsidP="00874E39">
      <w:r>
        <w:continuationSeparator/>
      </w:r>
    </w:p>
  </w:endnote>
  <w:endnote w:type="continuationNotice" w:id="1">
    <w:p w14:paraId="13C7DABA" w14:textId="77777777" w:rsidR="002C16E3" w:rsidRDefault="002C16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Gill Sans Nova">
    <w:charset w:val="00"/>
    <w:family w:val="swiss"/>
    <w:pitch w:val="variable"/>
    <w:sig w:usb0="80000287" w:usb1="00000002"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010B07" w14:textId="77777777" w:rsidR="002C16E3" w:rsidRDefault="002C16E3" w:rsidP="00874E39">
      <w:r>
        <w:separator/>
      </w:r>
    </w:p>
  </w:footnote>
  <w:footnote w:type="continuationSeparator" w:id="0">
    <w:p w14:paraId="15D50B6C" w14:textId="77777777" w:rsidR="002C16E3" w:rsidRDefault="002C16E3" w:rsidP="00874E39">
      <w:r>
        <w:continuationSeparator/>
      </w:r>
    </w:p>
  </w:footnote>
  <w:footnote w:type="continuationNotice" w:id="1">
    <w:p w14:paraId="6248E142" w14:textId="77777777" w:rsidR="002C16E3" w:rsidRDefault="002C16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E2D73AC"/>
    <w:multiLevelType w:val="hybridMultilevel"/>
    <w:tmpl w:val="46E639F8"/>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C65764"/>
    <w:multiLevelType w:val="hybridMultilevel"/>
    <w:tmpl w:val="44527246"/>
    <w:lvl w:ilvl="0" w:tplc="96A830F2">
      <w:start w:val="4"/>
      <w:numFmt w:val="bullet"/>
      <w:lvlText w:val="-"/>
      <w:lvlJc w:val="left"/>
      <w:pPr>
        <w:ind w:left="720" w:hanging="360"/>
      </w:pPr>
      <w:rPr>
        <w:rFonts w:ascii="Calibri" w:eastAsiaTheme="minorHAnsi" w:hAnsi="Calibri" w:cs="Calibri"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B8042DA"/>
    <w:multiLevelType w:val="multilevel"/>
    <w:tmpl w:val="E42E4B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7"/>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370498150">
    <w:abstractNumId w:val="5"/>
  </w:num>
  <w:num w:numId="50" w16cid:durableId="1973249860">
    <w:abstractNumId w:val="50"/>
  </w:num>
  <w:num w:numId="51" w16cid:durableId="1594586234">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8F6"/>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738"/>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D3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1F469F"/>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1C1"/>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6E3"/>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DB8"/>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479F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1E0"/>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91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20D"/>
    <w:rsid w:val="005178CB"/>
    <w:rsid w:val="00517AB0"/>
    <w:rsid w:val="00517BD8"/>
    <w:rsid w:val="00520C52"/>
    <w:rsid w:val="00520CBB"/>
    <w:rsid w:val="00521C4F"/>
    <w:rsid w:val="00522477"/>
    <w:rsid w:val="00522F02"/>
    <w:rsid w:val="005231CE"/>
    <w:rsid w:val="00523BC9"/>
    <w:rsid w:val="00524D54"/>
    <w:rsid w:val="0052600B"/>
    <w:rsid w:val="00526617"/>
    <w:rsid w:val="00527A6F"/>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C3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CB7"/>
    <w:rsid w:val="006D005C"/>
    <w:rsid w:val="006D0468"/>
    <w:rsid w:val="006D0F88"/>
    <w:rsid w:val="006D261A"/>
    <w:rsid w:val="006D2944"/>
    <w:rsid w:val="006D3391"/>
    <w:rsid w:val="006D43AA"/>
    <w:rsid w:val="006D4C70"/>
    <w:rsid w:val="006D5605"/>
    <w:rsid w:val="006E114C"/>
    <w:rsid w:val="006E18FD"/>
    <w:rsid w:val="006E1AE3"/>
    <w:rsid w:val="006E23C1"/>
    <w:rsid w:val="006E43A6"/>
    <w:rsid w:val="006E5C5F"/>
    <w:rsid w:val="006E5EE5"/>
    <w:rsid w:val="006E6B58"/>
    <w:rsid w:val="006E7195"/>
    <w:rsid w:val="006E7DC6"/>
    <w:rsid w:val="006F0E83"/>
    <w:rsid w:val="006F13BA"/>
    <w:rsid w:val="006F2FC8"/>
    <w:rsid w:val="006F344F"/>
    <w:rsid w:val="006F3CBF"/>
    <w:rsid w:val="006F4099"/>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779"/>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60E"/>
    <w:rsid w:val="00811FC6"/>
    <w:rsid w:val="0081210B"/>
    <w:rsid w:val="0081265C"/>
    <w:rsid w:val="0081313B"/>
    <w:rsid w:val="00813A3A"/>
    <w:rsid w:val="00813E00"/>
    <w:rsid w:val="008142EE"/>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611"/>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047"/>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F6E"/>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5AE"/>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3DA"/>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BAC"/>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1A8"/>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CF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483"/>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FEE"/>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C3"/>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58C"/>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B5E"/>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A0E"/>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C4A"/>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BodyTextIndent">
    <w:name w:val="Body Text Indent"/>
    <w:basedOn w:val="Normal"/>
    <w:link w:val="BodyTextIndentChar"/>
    <w:uiPriority w:val="9"/>
    <w:rsid w:val="00327DB8"/>
    <w:pPr>
      <w:tabs>
        <w:tab w:val="left" w:pos="709"/>
        <w:tab w:val="left" w:pos="1418"/>
        <w:tab w:val="left" w:pos="2126"/>
        <w:tab w:val="left" w:pos="2835"/>
        <w:tab w:val="left" w:pos="3544"/>
        <w:tab w:val="left" w:pos="4253"/>
        <w:tab w:val="left" w:pos="4961"/>
        <w:tab w:val="left" w:pos="5670"/>
        <w:tab w:val="right" w:pos="8363"/>
      </w:tabs>
      <w:spacing w:before="0" w:after="70" w:line="288" w:lineRule="auto"/>
      <w:ind w:left="431"/>
    </w:pPr>
    <w:rPr>
      <w:rFonts w:ascii="Gill Sans Nova" w:hAnsi="Gill Sans Nova"/>
      <w:sz w:val="18"/>
      <w:szCs w:val="18"/>
      <w:lang w:val="en-HK"/>
    </w:rPr>
  </w:style>
  <w:style w:type="character" w:customStyle="1" w:styleId="BodyTextIndentChar">
    <w:name w:val="Body Text Indent Char"/>
    <w:basedOn w:val="DefaultParagraphFont"/>
    <w:link w:val="BodyTextIndent"/>
    <w:uiPriority w:val="9"/>
    <w:rsid w:val="00327DB8"/>
    <w:rPr>
      <w:rFonts w:ascii="Gill Sans Nova" w:hAnsi="Gill Sans Nova"/>
      <w:sz w:val="18"/>
      <w:szCs w:val="18"/>
      <w:lang w:val="en-HK"/>
    </w:rPr>
  </w:style>
  <w:style w:type="character" w:styleId="FootnoteReference">
    <w:name w:val="footnote reference"/>
    <w:uiPriority w:val="99"/>
    <w:semiHidden/>
    <w:rsid w:val="00327DB8"/>
    <w:rPr>
      <w:rFonts w:ascii="Gill Sans Nova" w:hAnsi="Gill Sans Nova" w:cs="Arial"/>
      <w:b w:val="0"/>
      <w:kern w:val="2"/>
      <w:position w:val="0"/>
      <w:sz w:val="14"/>
      <w:vertAlign w:val="superscript"/>
    </w:rPr>
  </w:style>
  <w:style w:type="paragraph" w:styleId="FootnoteText">
    <w:name w:val="footnote text"/>
    <w:basedOn w:val="Normal"/>
    <w:link w:val="FootnoteTextChar"/>
    <w:uiPriority w:val="99"/>
    <w:semiHidden/>
    <w:rsid w:val="00327DB8"/>
    <w:pPr>
      <w:tabs>
        <w:tab w:val="left" w:pos="170"/>
      </w:tabs>
      <w:spacing w:before="0" w:after="0"/>
      <w:ind w:left="142" w:hanging="142"/>
    </w:pPr>
    <w:rPr>
      <w:rFonts w:ascii="Gill Sans Nova" w:hAnsi="Gill Sans Nova"/>
      <w:sz w:val="14"/>
      <w:szCs w:val="18"/>
      <w:lang w:val="en-HK"/>
    </w:rPr>
  </w:style>
  <w:style w:type="character" w:customStyle="1" w:styleId="FootnoteTextChar">
    <w:name w:val="Footnote Text Char"/>
    <w:basedOn w:val="DefaultParagraphFont"/>
    <w:link w:val="FootnoteText"/>
    <w:uiPriority w:val="99"/>
    <w:semiHidden/>
    <w:rsid w:val="00327DB8"/>
    <w:rPr>
      <w:rFonts w:ascii="Gill Sans Nova" w:hAnsi="Gill Sans Nova"/>
      <w:sz w:val="14"/>
      <w:szCs w:val="18"/>
      <w:lang w:val="en-H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931370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0163388">
      <w:bodyDiv w:val="1"/>
      <w:marLeft w:val="0"/>
      <w:marRight w:val="0"/>
      <w:marTop w:val="0"/>
      <w:marBottom w:val="0"/>
      <w:divBdr>
        <w:top w:val="none" w:sz="0" w:space="0" w:color="auto"/>
        <w:left w:val="none" w:sz="0" w:space="0" w:color="auto"/>
        <w:bottom w:val="none" w:sz="0" w:space="0" w:color="auto"/>
        <w:right w:val="none" w:sz="0" w:space="0" w:color="auto"/>
      </w:divBdr>
    </w:div>
    <w:div w:id="718238826">
      <w:bodyDiv w:val="1"/>
      <w:marLeft w:val="0"/>
      <w:marRight w:val="0"/>
      <w:marTop w:val="0"/>
      <w:marBottom w:val="0"/>
      <w:divBdr>
        <w:top w:val="none" w:sz="0" w:space="0" w:color="auto"/>
        <w:left w:val="none" w:sz="0" w:space="0" w:color="auto"/>
        <w:bottom w:val="none" w:sz="0" w:space="0" w:color="auto"/>
        <w:right w:val="none" w:sz="0" w:space="0" w:color="auto"/>
      </w:divBdr>
    </w:div>
    <w:div w:id="72175331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472450">
      <w:bodyDiv w:val="1"/>
      <w:marLeft w:val="0"/>
      <w:marRight w:val="0"/>
      <w:marTop w:val="0"/>
      <w:marBottom w:val="0"/>
      <w:divBdr>
        <w:top w:val="none" w:sz="0" w:space="0" w:color="auto"/>
        <w:left w:val="none" w:sz="0" w:space="0" w:color="auto"/>
        <w:bottom w:val="none" w:sz="0" w:space="0" w:color="auto"/>
        <w:right w:val="none" w:sz="0" w:space="0" w:color="auto"/>
      </w:divBdr>
    </w:div>
    <w:div w:id="861169145">
      <w:bodyDiv w:val="1"/>
      <w:marLeft w:val="0"/>
      <w:marRight w:val="0"/>
      <w:marTop w:val="0"/>
      <w:marBottom w:val="0"/>
      <w:divBdr>
        <w:top w:val="none" w:sz="0" w:space="0" w:color="auto"/>
        <w:left w:val="none" w:sz="0" w:space="0" w:color="auto"/>
        <w:bottom w:val="none" w:sz="0" w:space="0" w:color="auto"/>
        <w:right w:val="none" w:sz="0" w:space="0" w:color="auto"/>
      </w:divBdr>
    </w:div>
    <w:div w:id="1073115107">
      <w:bodyDiv w:val="1"/>
      <w:marLeft w:val="0"/>
      <w:marRight w:val="0"/>
      <w:marTop w:val="0"/>
      <w:marBottom w:val="0"/>
      <w:divBdr>
        <w:top w:val="none" w:sz="0" w:space="0" w:color="auto"/>
        <w:left w:val="none" w:sz="0" w:space="0" w:color="auto"/>
        <w:bottom w:val="none" w:sz="0" w:space="0" w:color="auto"/>
        <w:right w:val="none" w:sz="0" w:space="0" w:color="auto"/>
      </w:divBdr>
    </w:div>
    <w:div w:id="1123311116">
      <w:bodyDiv w:val="1"/>
      <w:marLeft w:val="0"/>
      <w:marRight w:val="0"/>
      <w:marTop w:val="0"/>
      <w:marBottom w:val="0"/>
      <w:divBdr>
        <w:top w:val="none" w:sz="0" w:space="0" w:color="auto"/>
        <w:left w:val="none" w:sz="0" w:space="0" w:color="auto"/>
        <w:bottom w:val="none" w:sz="0" w:space="0" w:color="auto"/>
        <w:right w:val="none" w:sz="0" w:space="0" w:color="auto"/>
      </w:divBdr>
    </w:div>
    <w:div w:id="1127043767">
      <w:bodyDiv w:val="1"/>
      <w:marLeft w:val="0"/>
      <w:marRight w:val="0"/>
      <w:marTop w:val="0"/>
      <w:marBottom w:val="0"/>
      <w:divBdr>
        <w:top w:val="none" w:sz="0" w:space="0" w:color="auto"/>
        <w:left w:val="none" w:sz="0" w:space="0" w:color="auto"/>
        <w:bottom w:val="none" w:sz="0" w:space="0" w:color="auto"/>
        <w:right w:val="none" w:sz="0" w:space="0" w:color="auto"/>
      </w:divBdr>
    </w:div>
    <w:div w:id="114223558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1424">
      <w:bodyDiv w:val="1"/>
      <w:marLeft w:val="0"/>
      <w:marRight w:val="0"/>
      <w:marTop w:val="0"/>
      <w:marBottom w:val="0"/>
      <w:divBdr>
        <w:top w:val="none" w:sz="0" w:space="0" w:color="auto"/>
        <w:left w:val="none" w:sz="0" w:space="0" w:color="auto"/>
        <w:bottom w:val="none" w:sz="0" w:space="0" w:color="auto"/>
        <w:right w:val="none" w:sz="0" w:space="0" w:color="auto"/>
      </w:divBdr>
    </w:div>
    <w:div w:id="1320815037">
      <w:bodyDiv w:val="1"/>
      <w:marLeft w:val="0"/>
      <w:marRight w:val="0"/>
      <w:marTop w:val="0"/>
      <w:marBottom w:val="0"/>
      <w:divBdr>
        <w:top w:val="none" w:sz="0" w:space="0" w:color="auto"/>
        <w:left w:val="none" w:sz="0" w:space="0" w:color="auto"/>
        <w:bottom w:val="none" w:sz="0" w:space="0" w:color="auto"/>
        <w:right w:val="none" w:sz="0" w:space="0" w:color="auto"/>
      </w:divBdr>
    </w:div>
    <w:div w:id="1389299654">
      <w:bodyDiv w:val="1"/>
      <w:marLeft w:val="0"/>
      <w:marRight w:val="0"/>
      <w:marTop w:val="0"/>
      <w:marBottom w:val="0"/>
      <w:divBdr>
        <w:top w:val="none" w:sz="0" w:space="0" w:color="auto"/>
        <w:left w:val="none" w:sz="0" w:space="0" w:color="auto"/>
        <w:bottom w:val="none" w:sz="0" w:space="0" w:color="auto"/>
        <w:right w:val="none" w:sz="0" w:space="0" w:color="auto"/>
      </w:divBdr>
      <w:divsChild>
        <w:div w:id="1904942875">
          <w:marLeft w:val="0"/>
          <w:marRight w:val="0"/>
          <w:marTop w:val="0"/>
          <w:marBottom w:val="0"/>
          <w:divBdr>
            <w:top w:val="none" w:sz="0" w:space="0" w:color="auto"/>
            <w:left w:val="none" w:sz="0" w:space="0" w:color="auto"/>
            <w:bottom w:val="none" w:sz="0" w:space="0" w:color="auto"/>
            <w:right w:val="none" w:sz="0" w:space="0" w:color="auto"/>
          </w:divBdr>
          <w:divsChild>
            <w:div w:id="663506859">
              <w:marLeft w:val="0"/>
              <w:marRight w:val="0"/>
              <w:marTop w:val="0"/>
              <w:marBottom w:val="0"/>
              <w:divBdr>
                <w:top w:val="none" w:sz="0" w:space="0" w:color="auto"/>
                <w:left w:val="none" w:sz="0" w:space="0" w:color="auto"/>
                <w:bottom w:val="none" w:sz="0" w:space="0" w:color="auto"/>
                <w:right w:val="none" w:sz="0" w:space="0" w:color="auto"/>
              </w:divBdr>
              <w:divsChild>
                <w:div w:id="699670454">
                  <w:marLeft w:val="0"/>
                  <w:marRight w:val="0"/>
                  <w:marTop w:val="0"/>
                  <w:marBottom w:val="0"/>
                  <w:divBdr>
                    <w:top w:val="none" w:sz="0" w:space="0" w:color="auto"/>
                    <w:left w:val="none" w:sz="0" w:space="0" w:color="auto"/>
                    <w:bottom w:val="none" w:sz="0" w:space="0" w:color="auto"/>
                    <w:right w:val="none" w:sz="0" w:space="0" w:color="auto"/>
                  </w:divBdr>
                  <w:divsChild>
                    <w:div w:id="196322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4386470">
      <w:bodyDiv w:val="1"/>
      <w:marLeft w:val="0"/>
      <w:marRight w:val="0"/>
      <w:marTop w:val="0"/>
      <w:marBottom w:val="0"/>
      <w:divBdr>
        <w:top w:val="none" w:sz="0" w:space="0" w:color="auto"/>
        <w:left w:val="none" w:sz="0" w:space="0" w:color="auto"/>
        <w:bottom w:val="none" w:sz="0" w:space="0" w:color="auto"/>
        <w:right w:val="none" w:sz="0" w:space="0" w:color="auto"/>
      </w:divBdr>
    </w:div>
    <w:div w:id="1670718286">
      <w:bodyDiv w:val="1"/>
      <w:marLeft w:val="0"/>
      <w:marRight w:val="0"/>
      <w:marTop w:val="0"/>
      <w:marBottom w:val="0"/>
      <w:divBdr>
        <w:top w:val="none" w:sz="0" w:space="0" w:color="auto"/>
        <w:left w:val="none" w:sz="0" w:space="0" w:color="auto"/>
        <w:bottom w:val="none" w:sz="0" w:space="0" w:color="auto"/>
        <w:right w:val="none" w:sz="0" w:space="0" w:color="auto"/>
      </w:divBdr>
      <w:divsChild>
        <w:div w:id="569773733">
          <w:marLeft w:val="0"/>
          <w:marRight w:val="0"/>
          <w:marTop w:val="0"/>
          <w:marBottom w:val="0"/>
          <w:divBdr>
            <w:top w:val="none" w:sz="0" w:space="0" w:color="auto"/>
            <w:left w:val="none" w:sz="0" w:space="0" w:color="auto"/>
            <w:bottom w:val="none" w:sz="0" w:space="0" w:color="auto"/>
            <w:right w:val="none" w:sz="0" w:space="0" w:color="auto"/>
          </w:divBdr>
          <w:divsChild>
            <w:div w:id="1326713424">
              <w:marLeft w:val="0"/>
              <w:marRight w:val="0"/>
              <w:marTop w:val="0"/>
              <w:marBottom w:val="0"/>
              <w:divBdr>
                <w:top w:val="none" w:sz="0" w:space="0" w:color="auto"/>
                <w:left w:val="none" w:sz="0" w:space="0" w:color="auto"/>
                <w:bottom w:val="none" w:sz="0" w:space="0" w:color="auto"/>
                <w:right w:val="none" w:sz="0" w:space="0" w:color="auto"/>
              </w:divBdr>
              <w:divsChild>
                <w:div w:id="2009794379">
                  <w:marLeft w:val="0"/>
                  <w:marRight w:val="0"/>
                  <w:marTop w:val="0"/>
                  <w:marBottom w:val="0"/>
                  <w:divBdr>
                    <w:top w:val="none" w:sz="0" w:space="0" w:color="auto"/>
                    <w:left w:val="none" w:sz="0" w:space="0" w:color="auto"/>
                    <w:bottom w:val="none" w:sz="0" w:space="0" w:color="auto"/>
                    <w:right w:val="none" w:sz="0" w:space="0" w:color="auto"/>
                  </w:divBdr>
                  <w:divsChild>
                    <w:div w:id="111243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098787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033145/https://esdm.go.id/id/media-center/arsip-berita/menteri-esdm-luncurkan-perdagangan-karbon-subsektor-pembangkit-listrik-"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30033200/https://www.spglobal.com/commodity-insights/en/news-research/latest-news/energy-transition/121324-commodities-2025-asias-emerging-compliance-carbon-markets-to-gather-pac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32451/https://peraturan.bpk.go.id/Details/257394/permen-esdm-no-16-tahun-2022"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30033157/https://carbon-pulse.com/36949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30032933/https://icapcarbonaction.com/system/files/ets_pdfs/icap-etsmap-factsheet-10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30033525/https://srn.menlhk.go.id/spe/"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1</Pages>
  <Words>23207</Words>
  <Characters>132286</Characters>
  <Application>Microsoft Office Word</Application>
  <DocSecurity>0</DocSecurity>
  <Lines>1102</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11</cp:revision>
  <cp:lastPrinted>2025-03-21T00:14:00Z</cp:lastPrinted>
  <dcterms:created xsi:type="dcterms:W3CDTF">2025-06-25T12:03:00Z</dcterms:created>
  <dcterms:modified xsi:type="dcterms:W3CDTF">2025-08-12T09:50:00Z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